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34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78"/>
        <w:gridCol w:w="1490"/>
        <w:gridCol w:w="478"/>
        <w:gridCol w:w="2450"/>
      </w:tblGrid>
      <w:tr w:rsidR="00C67FD9" w:rsidRPr="008A38E2" w14:paraId="188AE2D6" w14:textId="77777777" w:rsidTr="00A264E0">
        <w:trPr>
          <w:trHeight w:val="326"/>
        </w:trPr>
        <w:tc>
          <w:tcPr>
            <w:tcW w:w="778" w:type="dxa"/>
            <w:shd w:val="clear" w:color="auto" w:fill="auto"/>
          </w:tcPr>
          <w:p w14:paraId="44F30D0F" w14:textId="77777777" w:rsidR="00C67FD9" w:rsidRPr="008A38E2" w:rsidRDefault="00C67FD9" w:rsidP="00C67FD9">
            <w:pPr>
              <w:rPr>
                <w:rFonts w:ascii="Arial" w:hAnsi="Arial" w:cs="Arial"/>
                <w:szCs w:val="20"/>
              </w:rPr>
            </w:pPr>
          </w:p>
          <w:p w14:paraId="3B48C5A0" w14:textId="77777777" w:rsidR="00C67FD9" w:rsidRPr="008A38E2" w:rsidRDefault="00C67FD9" w:rsidP="00C67FD9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szCs w:val="20"/>
              </w:rPr>
            </w:pPr>
            <w:r w:rsidRPr="008A38E2">
              <w:rPr>
                <w:rFonts w:ascii="Arial" w:hAnsi="Arial" w:cs="Arial"/>
                <w:szCs w:val="20"/>
              </w:rPr>
              <w:t xml:space="preserve"> </w:t>
            </w:r>
            <w:r w:rsidRPr="008A38E2">
              <w:rPr>
                <w:rFonts w:ascii="Arial" w:hAnsi="Arial" w:cs="Arial"/>
                <w:noProof/>
                <w:szCs w:val="20"/>
              </w:rPr>
              <w:t>Teie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1D26868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  <w:p w14:paraId="2FFC6374" w14:textId="2EFDC102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008034C8" w14:textId="77777777" w:rsidR="00C67FD9" w:rsidRPr="008A38E2" w:rsidRDefault="00C67FD9" w:rsidP="00C67FD9">
            <w:pPr>
              <w:rPr>
                <w:rFonts w:ascii="Arial" w:hAnsi="Arial" w:cs="Arial"/>
                <w:szCs w:val="20"/>
              </w:rPr>
            </w:pPr>
          </w:p>
          <w:p w14:paraId="517595C0" w14:textId="47DA463E" w:rsidR="00C67FD9" w:rsidRPr="008A38E2" w:rsidRDefault="00A264E0" w:rsidP="00C67FD9">
            <w:pPr>
              <w:rPr>
                <w:rFonts w:ascii="Arial" w:hAnsi="Arial" w:cs="Arial"/>
                <w:szCs w:val="20"/>
              </w:rPr>
            </w:pPr>
            <w:r w:rsidRPr="008A38E2">
              <w:rPr>
                <w:rFonts w:ascii="Arial" w:hAnsi="Arial" w:cs="Arial"/>
                <w:szCs w:val="20"/>
              </w:rPr>
              <w:t xml:space="preserve"> </w:t>
            </w:r>
            <w:r w:rsidR="00C67FD9" w:rsidRPr="008A38E2">
              <w:rPr>
                <w:rFonts w:ascii="Arial" w:hAnsi="Arial" w:cs="Arial"/>
                <w:szCs w:val="20"/>
              </w:rPr>
              <w:t>nr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6FED054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7FD9" w:rsidRPr="008A38E2" w14:paraId="15C5241E" w14:textId="77777777" w:rsidTr="00A264E0">
        <w:trPr>
          <w:trHeight w:val="306"/>
        </w:trPr>
        <w:tc>
          <w:tcPr>
            <w:tcW w:w="778" w:type="dxa"/>
            <w:shd w:val="clear" w:color="auto" w:fill="auto"/>
          </w:tcPr>
          <w:p w14:paraId="232CE7B0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14:paraId="0CC10A68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64B8E57C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450" w:type="dxa"/>
            <w:shd w:val="clear" w:color="auto" w:fill="auto"/>
          </w:tcPr>
          <w:p w14:paraId="2448BE9C" w14:textId="77777777" w:rsidR="00C67FD9" w:rsidRPr="008A38E2" w:rsidRDefault="00C67FD9" w:rsidP="00C67FD9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7FD9" w:rsidRPr="008A38E2" w14:paraId="4D00B49C" w14:textId="77777777" w:rsidTr="00A264E0">
        <w:trPr>
          <w:trHeight w:val="306"/>
        </w:trPr>
        <w:tc>
          <w:tcPr>
            <w:tcW w:w="778" w:type="dxa"/>
            <w:shd w:val="clear" w:color="auto" w:fill="auto"/>
          </w:tcPr>
          <w:p w14:paraId="47074447" w14:textId="032A7C73" w:rsidR="00C67FD9" w:rsidRPr="008A38E2" w:rsidRDefault="00C67FD9" w:rsidP="00C67FD9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szCs w:val="20"/>
              </w:rPr>
            </w:pPr>
            <w:r w:rsidRPr="008A38E2">
              <w:rPr>
                <w:rFonts w:ascii="Arial" w:hAnsi="Arial" w:cs="Arial"/>
                <w:szCs w:val="20"/>
              </w:rPr>
              <w:t xml:space="preserve"> </w:t>
            </w:r>
            <w:r w:rsidRPr="008A38E2">
              <w:rPr>
                <w:rFonts w:ascii="Arial" w:hAnsi="Arial" w:cs="Arial"/>
                <w:noProof/>
                <w:szCs w:val="20"/>
              </w:rPr>
              <w:t>Meie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CD3262A" w14:textId="1DEFE92B" w:rsidR="00C67FD9" w:rsidRPr="008A38E2" w:rsidRDefault="00ED2FB9" w:rsidP="00872447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25.07.2024</w:t>
            </w:r>
          </w:p>
        </w:tc>
        <w:tc>
          <w:tcPr>
            <w:tcW w:w="478" w:type="dxa"/>
            <w:shd w:val="clear" w:color="auto" w:fill="auto"/>
          </w:tcPr>
          <w:p w14:paraId="4B6C194F" w14:textId="6D1FF48D" w:rsidR="00C67FD9" w:rsidRPr="008A38E2" w:rsidRDefault="00A264E0" w:rsidP="00C67FD9">
            <w:pPr>
              <w:tabs>
                <w:tab w:val="left" w:pos="263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noProof/>
                <w:szCs w:val="20"/>
              </w:rPr>
            </w:pPr>
            <w:r w:rsidRPr="008A38E2">
              <w:rPr>
                <w:rFonts w:ascii="Arial" w:hAnsi="Arial" w:cs="Arial"/>
                <w:noProof/>
                <w:szCs w:val="20"/>
              </w:rPr>
              <w:t xml:space="preserve"> </w:t>
            </w:r>
            <w:r w:rsidR="00C67FD9" w:rsidRPr="008A38E2">
              <w:rPr>
                <w:rFonts w:ascii="Arial" w:hAnsi="Arial" w:cs="Arial"/>
                <w:noProof/>
                <w:szCs w:val="20"/>
              </w:rPr>
              <w:t>nr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D13D5E0" w14:textId="044FEE9E" w:rsidR="00C67FD9" w:rsidRPr="008A38E2" w:rsidRDefault="00ED2FB9" w:rsidP="00C67FD9">
            <w:pPr>
              <w:tabs>
                <w:tab w:val="left" w:pos="263"/>
                <w:tab w:val="left" w:pos="438"/>
                <w:tab w:val="left" w:pos="5459"/>
                <w:tab w:val="left" w:pos="5747"/>
              </w:tabs>
              <w:outlineLvl w:val="0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w:t>2-24-</w:t>
            </w:r>
            <w:r w:rsidR="007400BD">
              <w:rPr>
                <w:rFonts w:ascii="Arial" w:hAnsi="Arial" w:cs="Arial"/>
                <w:noProof/>
                <w:szCs w:val="20"/>
              </w:rPr>
              <w:t>5636</w:t>
            </w:r>
          </w:p>
        </w:tc>
      </w:tr>
    </w:tbl>
    <w:p w14:paraId="74A1CCAE" w14:textId="4E828FAF" w:rsidR="00DB5A44" w:rsidRPr="008A38E2" w:rsidRDefault="00BF4D1B" w:rsidP="008B41AA">
      <w:pPr>
        <w:tabs>
          <w:tab w:val="left" w:pos="263"/>
          <w:tab w:val="left" w:pos="5459"/>
          <w:tab w:val="left" w:pos="5747"/>
        </w:tabs>
        <w:outlineLvl w:val="0"/>
        <w:rPr>
          <w:rFonts w:ascii="Arial" w:hAnsi="Arial" w:cs="Arial"/>
          <w:noProof/>
          <w:szCs w:val="20"/>
          <w:lang w:val="et-EE"/>
        </w:rPr>
      </w:pPr>
      <w:r w:rsidRPr="008A38E2">
        <w:rPr>
          <w:rFonts w:ascii="Arial" w:hAnsi="Arial" w:cs="Arial"/>
          <w:noProof/>
          <w:szCs w:val="20"/>
          <w:lang w:val="et-EE"/>
        </w:rPr>
        <w:drawing>
          <wp:anchor distT="0" distB="0" distL="114300" distR="114300" simplePos="0" relativeHeight="251670528" behindDoc="1" locked="0" layoutInCell="1" allowOverlap="1" wp14:anchorId="441658FA" wp14:editId="71F32FFB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8A38E2"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0A9D78D5" wp14:editId="00FDB70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765904" w14:textId="343605A3" w:rsidR="0096661F" w:rsidRDefault="0096661F" w:rsidP="0096661F">
      <w:pPr>
        <w:rPr>
          <w:rFonts w:ascii="Arial" w:hAnsi="Arial" w:cs="Arial"/>
          <w:szCs w:val="20"/>
          <w:lang w:val="et-EE"/>
        </w:rPr>
      </w:pPr>
    </w:p>
    <w:p w14:paraId="43B1870B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04819AA1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0B13C088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64A0C877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7216D392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7AF23146" w14:textId="77777777" w:rsidR="00ED2FB9" w:rsidRDefault="00ED2FB9" w:rsidP="0096661F">
      <w:pPr>
        <w:rPr>
          <w:rFonts w:ascii="Arial" w:hAnsi="Arial" w:cs="Arial"/>
          <w:szCs w:val="20"/>
          <w:lang w:val="et-EE"/>
        </w:rPr>
      </w:pPr>
    </w:p>
    <w:p w14:paraId="223450DF" w14:textId="77777777" w:rsidR="00ED2FB9" w:rsidRDefault="00ED2FB9" w:rsidP="00ED2FB9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4C0F3C6C" w14:textId="77777777" w:rsidR="00ED2FB9" w:rsidRPr="00FB724F" w:rsidRDefault="00ED2FB9" w:rsidP="00ED2FB9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7F8DEB06" w14:textId="77777777" w:rsidR="00ED2FB9" w:rsidRDefault="00ED2FB9" w:rsidP="00ED2FB9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027E45B0" w14:textId="77777777" w:rsidR="00ED2FB9" w:rsidRPr="00871265" w:rsidRDefault="00ED2FB9" w:rsidP="00ED2FB9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414411D5" w14:textId="77777777" w:rsidR="00ED2FB9" w:rsidRPr="00871265" w:rsidRDefault="00ED2FB9" w:rsidP="00ED2FB9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6B6CE841" w14:textId="004D3532" w:rsidR="00ED2FB9" w:rsidRPr="00ED2FB9" w:rsidRDefault="00ED2FB9" w:rsidP="00ED2FB9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2-24-</w:t>
      </w:r>
      <w:r w:rsidR="007400BD">
        <w:rPr>
          <w:rFonts w:ascii="Times New Roman" w:hAnsi="Times New Roman" w:cs="Times New Roman"/>
          <w:sz w:val="24"/>
          <w:lang w:val="et-EE"/>
        </w:rPr>
        <w:t>5636</w:t>
      </w:r>
      <w:r>
        <w:rPr>
          <w:rFonts w:ascii="Times New Roman" w:hAnsi="Times New Roman" w:cs="Times New Roman"/>
          <w:sz w:val="24"/>
          <w:lang w:val="et-EE"/>
        </w:rPr>
        <w:t xml:space="preserve"> on </w:t>
      </w:r>
      <w:r w:rsidRPr="00ED2FB9">
        <w:rPr>
          <w:rFonts w:ascii="Times New Roman" w:hAnsi="Times New Roman" w:cs="Times New Roman"/>
          <w:bCs/>
          <w:noProof/>
          <w:sz w:val="24"/>
        </w:rPr>
        <w:t xml:space="preserve">OÜ </w:t>
      </w:r>
      <w:r w:rsidR="007400BD">
        <w:rPr>
          <w:rFonts w:ascii="Times New Roman" w:hAnsi="Times New Roman" w:cs="Times New Roman"/>
          <w:bCs/>
          <w:noProof/>
          <w:sz w:val="24"/>
        </w:rPr>
        <w:t>KALMERTI</w:t>
      </w:r>
      <w:r>
        <w:rPr>
          <w:rFonts w:ascii="Times New Roman" w:hAnsi="Times New Roman" w:cs="Times New Roman"/>
          <w:b/>
          <w:noProof/>
          <w:sz w:val="24"/>
        </w:rPr>
        <w:t xml:space="preserve"> </w:t>
      </w:r>
      <w:r w:rsidRPr="00420A15">
        <w:rPr>
          <w:rFonts w:ascii="Times New Roman" w:hAnsi="Times New Roman" w:cs="Times New Roman"/>
          <w:sz w:val="24"/>
          <w:lang w:val="et-EE"/>
        </w:rPr>
        <w:t>(</w:t>
      </w:r>
      <w:r>
        <w:rPr>
          <w:rFonts w:ascii="Times New Roman" w:hAnsi="Times New Roman" w:cs="Times New Roman"/>
          <w:sz w:val="24"/>
          <w:lang w:val="et-EE"/>
        </w:rPr>
        <w:t xml:space="preserve">registrikood </w:t>
      </w:r>
      <w:r w:rsidR="007400BD">
        <w:rPr>
          <w:rFonts w:ascii="Times New Roman" w:hAnsi="Times New Roman" w:cs="Times New Roman"/>
          <w:sz w:val="24"/>
        </w:rPr>
        <w:t>10767228</w:t>
      </w:r>
      <w:r w:rsidRPr="00420A15">
        <w:rPr>
          <w:rFonts w:ascii="Times New Roman" w:hAnsi="Times New Roman" w:cs="Times New Roman"/>
          <w:sz w:val="24"/>
          <w:lang w:val="et-EE"/>
        </w:rPr>
        <w:t>)</w:t>
      </w:r>
      <w:r>
        <w:rPr>
          <w:rFonts w:ascii="Times New Roman" w:hAnsi="Times New Roman" w:cs="Times New Roman"/>
          <w:sz w:val="24"/>
          <w:lang w:val="et-EE"/>
        </w:rPr>
        <w:t xml:space="preserve"> (</w:t>
      </w:r>
      <w:r w:rsidRPr="00ED2FB9">
        <w:rPr>
          <w:rFonts w:ascii="Times New Roman" w:hAnsi="Times New Roman" w:cs="Times New Roman"/>
          <w:sz w:val="24"/>
          <w:lang w:val="et-EE"/>
        </w:rPr>
        <w:t>võlgnik) avaldus pankroti väljakulutamiseks.</w:t>
      </w:r>
    </w:p>
    <w:p w14:paraId="0327F244" w14:textId="760C6DD8" w:rsidR="007400BD" w:rsidRPr="007400BD" w:rsidRDefault="00ED2FB9" w:rsidP="007400B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4"/>
          <w:lang w:val="et-EE"/>
        </w:rPr>
      </w:pPr>
      <w:r w:rsidRPr="00ED2FB9">
        <w:rPr>
          <w:rFonts w:ascii="Times New Roman" w:hAnsi="Times New Roman" w:cs="Times New Roman"/>
          <w:sz w:val="24"/>
          <w:lang w:val="et-EE"/>
        </w:rPr>
        <w:t xml:space="preserve">Ajutine haldur </w:t>
      </w:r>
      <w:r w:rsidR="007400BD">
        <w:rPr>
          <w:rFonts w:ascii="Times New Roman" w:hAnsi="Times New Roman" w:cs="Times New Roman"/>
          <w:sz w:val="24"/>
          <w:lang w:val="et-EE"/>
        </w:rPr>
        <w:t xml:space="preserve">Andrus </w:t>
      </w:r>
      <w:proofErr w:type="spellStart"/>
      <w:r w:rsidR="007400BD">
        <w:rPr>
          <w:rFonts w:ascii="Times New Roman" w:hAnsi="Times New Roman" w:cs="Times New Roman"/>
          <w:sz w:val="24"/>
          <w:lang w:val="et-EE"/>
        </w:rPr>
        <w:t>Õnnik</w:t>
      </w:r>
      <w:proofErr w:type="spellEnd"/>
      <w:r w:rsidRPr="00ED2FB9">
        <w:rPr>
          <w:rFonts w:ascii="Times New Roman" w:hAnsi="Times New Roman" w:cs="Times New Roman"/>
          <w:sz w:val="24"/>
          <w:lang w:val="et-EE"/>
        </w:rPr>
        <w:t xml:space="preserve"> esitas </w:t>
      </w:r>
      <w:r w:rsidR="007400BD">
        <w:rPr>
          <w:rFonts w:ascii="Times New Roman" w:hAnsi="Times New Roman" w:cs="Times New Roman"/>
          <w:sz w:val="24"/>
          <w:lang w:val="et-EE"/>
        </w:rPr>
        <w:t>6</w:t>
      </w:r>
      <w:r w:rsidRPr="00ED2FB9">
        <w:rPr>
          <w:rFonts w:ascii="Times New Roman" w:hAnsi="Times New Roman" w:cs="Times New Roman"/>
          <w:sz w:val="24"/>
          <w:lang w:val="et-EE"/>
        </w:rPr>
        <w:t xml:space="preserve">. juunil 2024 kohtule aruande, mille kohaselt on võlgnik püsivalt maksejõuetu, </w:t>
      </w:r>
      <w:r>
        <w:rPr>
          <w:rFonts w:ascii="Times New Roman" w:hAnsi="Times New Roman" w:cs="Times New Roman"/>
          <w:sz w:val="24"/>
          <w:lang w:val="et-EE"/>
        </w:rPr>
        <w:t>võlgniku</w:t>
      </w:r>
      <w:r w:rsidRPr="00ED2FB9">
        <w:rPr>
          <w:rFonts w:ascii="Times New Roman" w:hAnsi="Times New Roman" w:cs="Times New Roman"/>
          <w:sz w:val="24"/>
          <w:lang w:val="et-EE"/>
        </w:rPr>
        <w:t xml:space="preserve"> vastu teadaolevaid nõudeid </w:t>
      </w:r>
      <w:r>
        <w:rPr>
          <w:rFonts w:ascii="Times New Roman" w:hAnsi="Times New Roman" w:cs="Times New Roman"/>
          <w:sz w:val="24"/>
          <w:lang w:val="et-EE"/>
        </w:rPr>
        <w:t xml:space="preserve">on </w:t>
      </w:r>
      <w:r w:rsidRPr="00ED2FB9">
        <w:rPr>
          <w:rFonts w:ascii="Times New Roman" w:hAnsi="Times New Roman" w:cs="Times New Roman"/>
          <w:sz w:val="24"/>
          <w:lang w:val="et-EE"/>
        </w:rPr>
        <w:t xml:space="preserve">vähemalt </w:t>
      </w:r>
      <w:r w:rsidR="007400BD">
        <w:rPr>
          <w:rFonts w:ascii="Times New Roman" w:hAnsi="Times New Roman" w:cs="Times New Roman"/>
          <w:sz w:val="24"/>
          <w:lang w:val="et-EE"/>
        </w:rPr>
        <w:t>276 789</w:t>
      </w:r>
      <w:r>
        <w:rPr>
          <w:rFonts w:ascii="Times New Roman" w:hAnsi="Times New Roman" w:cs="Times New Roman"/>
          <w:sz w:val="24"/>
          <w:lang w:val="et-EE"/>
        </w:rPr>
        <w:t xml:space="preserve"> eurot </w:t>
      </w:r>
      <w:r w:rsidR="007400BD">
        <w:rPr>
          <w:rFonts w:ascii="Times New Roman" w:hAnsi="Times New Roman" w:cs="Times New Roman"/>
          <w:sz w:val="24"/>
          <w:lang w:val="et-EE"/>
        </w:rPr>
        <w:t>5</w:t>
      </w:r>
      <w:r w:rsidRPr="00ED2FB9">
        <w:rPr>
          <w:rFonts w:ascii="Times New Roman" w:hAnsi="Times New Roman" w:cs="Times New Roman"/>
          <w:sz w:val="24"/>
          <w:lang w:val="et-EE"/>
        </w:rPr>
        <w:t xml:space="preserve">4 </w:t>
      </w:r>
      <w:r>
        <w:rPr>
          <w:rFonts w:ascii="Times New Roman" w:hAnsi="Times New Roman" w:cs="Times New Roman"/>
          <w:sz w:val="24"/>
          <w:lang w:val="et-EE"/>
        </w:rPr>
        <w:t>senti</w:t>
      </w:r>
      <w:r w:rsidRPr="00ED2FB9">
        <w:rPr>
          <w:rFonts w:ascii="Times New Roman" w:hAnsi="Times New Roman" w:cs="Times New Roman"/>
          <w:sz w:val="24"/>
          <w:lang w:val="et-EE"/>
        </w:rPr>
        <w:t xml:space="preserve">. </w:t>
      </w:r>
      <w:r w:rsidR="007400BD" w:rsidRPr="007400BD">
        <w:rPr>
          <w:rFonts w:ascii="Times New Roman" w:hAnsi="Times New Roman" w:cs="Times New Roman"/>
          <w:sz w:val="24"/>
          <w:lang w:val="et-EE"/>
        </w:rPr>
        <w:t xml:space="preserve">Ajutise halduri hinnangul on </w:t>
      </w:r>
      <w:r w:rsidR="007400BD">
        <w:rPr>
          <w:rFonts w:ascii="Times New Roman" w:hAnsi="Times New Roman" w:cs="Times New Roman"/>
          <w:sz w:val="24"/>
          <w:lang w:val="et-EE"/>
        </w:rPr>
        <w:t xml:space="preserve">võlgniku </w:t>
      </w:r>
      <w:r w:rsidR="007400BD" w:rsidRPr="007400BD">
        <w:rPr>
          <w:rFonts w:ascii="Times New Roman" w:hAnsi="Times New Roman" w:cs="Times New Roman"/>
          <w:sz w:val="24"/>
          <w:lang w:val="et-EE"/>
        </w:rPr>
        <w:t>maksejõuetuse peamiseks põhjuseks maksumenetluse käigus võlgniku poolt varasema n</w:t>
      </w:r>
      <w:r w:rsidR="007400BD">
        <w:rPr>
          <w:rFonts w:ascii="Times New Roman" w:hAnsi="Times New Roman" w:cs="Times New Roman"/>
          <w:sz w:val="24"/>
          <w:lang w:val="et-EE"/>
        </w:rPr>
        <w:t>.</w:t>
      </w:r>
      <w:r w:rsidR="007400BD" w:rsidRPr="007400BD">
        <w:rPr>
          <w:rFonts w:ascii="Times New Roman" w:hAnsi="Times New Roman" w:cs="Times New Roman"/>
          <w:sz w:val="24"/>
          <w:lang w:val="et-EE"/>
        </w:rPr>
        <w:t>ö maksude optimeerimise ilmsikstulek ja maksude ümberarvestamisest tekkinud maksuvõlg.</w:t>
      </w:r>
      <w:r w:rsidR="007400BD">
        <w:rPr>
          <w:rFonts w:ascii="Times New Roman" w:hAnsi="Times New Roman" w:cs="Times New Roman"/>
          <w:sz w:val="24"/>
          <w:lang w:val="et-EE"/>
        </w:rPr>
        <w:t xml:space="preserve"> Ajutise halduri aruande kohaselt </w:t>
      </w:r>
      <w:r w:rsidR="007400BD" w:rsidRPr="007400BD">
        <w:rPr>
          <w:rFonts w:ascii="Times New Roman" w:hAnsi="Times New Roman" w:cs="Times New Roman"/>
          <w:sz w:val="24"/>
          <w:lang w:val="et-EE"/>
        </w:rPr>
        <w:t xml:space="preserve">ei ole käesolevaks ajaks tuvastatud võlgniku juhatuse liikme poolt kuriteona või raske juhtimisveana kvalifitseeruvate </w:t>
      </w:r>
      <w:r w:rsidR="007400BD">
        <w:rPr>
          <w:rFonts w:ascii="Times New Roman" w:hAnsi="Times New Roman" w:cs="Times New Roman"/>
          <w:sz w:val="24"/>
          <w:lang w:val="et-EE"/>
        </w:rPr>
        <w:t>toimingute</w:t>
      </w:r>
      <w:r w:rsidR="007400BD" w:rsidRPr="007400BD">
        <w:rPr>
          <w:rFonts w:ascii="Times New Roman" w:hAnsi="Times New Roman" w:cs="Times New Roman"/>
          <w:sz w:val="24"/>
          <w:lang w:val="et-EE"/>
        </w:rPr>
        <w:t xml:space="preserve"> teostamist, mistõttu maksejõuetuse põhjuseks tuleb lugeda muu asjaolu</w:t>
      </w:r>
      <w:r w:rsidR="007400BD" w:rsidRPr="007400BD">
        <w:rPr>
          <w:rFonts w:ascii="Times New Roman" w:hAnsi="Times New Roman" w:cs="Times New Roman"/>
          <w:bCs/>
          <w:sz w:val="24"/>
          <w:lang w:val="et-EE"/>
        </w:rPr>
        <w:t>.</w:t>
      </w:r>
    </w:p>
    <w:p w14:paraId="25D787AF" w14:textId="67851619" w:rsidR="00ED2FB9" w:rsidRDefault="00ED2FB9" w:rsidP="00ED2FB9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vara puudumise tõttu määras kohus menetluse raugemise vältimiseks pankrotimenetluse kulude katteks kohtu deposiiti makstava summa suuruseks </w:t>
      </w:r>
      <w:r w:rsidR="007400BD">
        <w:rPr>
          <w:rFonts w:ascii="Times New Roman" w:hAnsi="Times New Roman" w:cs="Times New Roman"/>
          <w:sz w:val="24"/>
          <w:lang w:val="et-EE"/>
        </w:rPr>
        <w:t>32</w:t>
      </w:r>
      <w:r>
        <w:rPr>
          <w:rFonts w:ascii="Times New Roman" w:hAnsi="Times New Roman" w:cs="Times New Roman"/>
          <w:sz w:val="24"/>
          <w:lang w:val="et-EE"/>
        </w:rPr>
        <w:t>00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eurot. </w:t>
      </w:r>
      <w:r>
        <w:rPr>
          <w:rFonts w:ascii="Times New Roman" w:hAnsi="Times New Roman" w:cs="Times New Roman"/>
          <w:sz w:val="24"/>
          <w:lang w:val="et-EE"/>
        </w:rPr>
        <w:t xml:space="preserve">Kohtule ei ole teada, et keegi oleks </w:t>
      </w:r>
      <w:r w:rsidRPr="007B59F6">
        <w:rPr>
          <w:rFonts w:ascii="Times New Roman" w:hAnsi="Times New Roman" w:cs="Times New Roman"/>
          <w:sz w:val="24"/>
          <w:lang w:val="et-EE"/>
        </w:rPr>
        <w:t>deposii</w:t>
      </w:r>
      <w:r>
        <w:rPr>
          <w:rFonts w:ascii="Times New Roman" w:hAnsi="Times New Roman" w:cs="Times New Roman"/>
          <w:sz w:val="24"/>
          <w:lang w:val="et-EE"/>
        </w:rPr>
        <w:t>ti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§ 29 </w:t>
      </w:r>
      <w:proofErr w:type="spellStart"/>
      <w:r w:rsidRPr="007B59F6">
        <w:rPr>
          <w:rFonts w:ascii="Times New Roman" w:hAnsi="Times New Roman" w:cs="Times New Roman"/>
          <w:sz w:val="24"/>
          <w:lang w:val="et-EE"/>
        </w:rPr>
        <w:t>lg-s</w:t>
      </w:r>
      <w:proofErr w:type="spellEnd"/>
      <w:r w:rsidRPr="007B59F6">
        <w:rPr>
          <w:rFonts w:ascii="Times New Roman" w:hAnsi="Times New Roman" w:cs="Times New Roman"/>
          <w:sz w:val="24"/>
          <w:lang w:val="et-EE"/>
        </w:rPr>
        <w:t xml:space="preserve"> 1 sätestatud raugemise olukord. </w:t>
      </w:r>
      <w:proofErr w:type="spellStart"/>
      <w:r w:rsidRPr="007B59F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7B59F6">
        <w:rPr>
          <w:rFonts w:ascii="Times New Roman" w:hAnsi="Times New Roman" w:cs="Times New Roman"/>
          <w:sz w:val="24"/>
          <w:lang w:val="et-EE"/>
        </w:rPr>
        <w:t xml:space="preserve">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587D0829" w14:textId="2CAA6EF7" w:rsidR="00ED2FB9" w:rsidRPr="007B59F6" w:rsidRDefault="00ED2FB9" w:rsidP="00ED2FB9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Eelnevat arvestades teeb kohus maksejõuetuse teenistusele ettepaneku esitada avaldus pankrotimenetluse läbiviimiseks avaliku uurimisena hiljemalt </w:t>
      </w:r>
      <w:r>
        <w:rPr>
          <w:rFonts w:ascii="Times New Roman" w:hAnsi="Times New Roman" w:cs="Times New Roman"/>
          <w:b/>
          <w:bCs/>
          <w:sz w:val="24"/>
          <w:u w:val="single"/>
          <w:lang w:val="et-EE"/>
        </w:rPr>
        <w:t>9. augustiks</w:t>
      </w:r>
      <w:r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2024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FAEE097" w14:textId="77777777" w:rsidR="00ED2FB9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2EAD694" w14:textId="77777777" w:rsidR="00ED2FB9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6369774" w14:textId="77777777" w:rsidR="00ED2FB9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5CECA5" w14:textId="77777777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EF6CEB" w14:textId="77777777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5AB155AA" w14:textId="77777777" w:rsidR="00ED2FB9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6324F28" w14:textId="4D413C41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Anastassia Stalmeister</w:t>
      </w:r>
    </w:p>
    <w:p w14:paraId="03139EEE" w14:textId="77777777" w:rsidR="00ED2FB9" w:rsidRPr="00871265" w:rsidRDefault="00ED2FB9" w:rsidP="00ED2FB9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p w14:paraId="52019815" w14:textId="77777777" w:rsidR="00ED2FB9" w:rsidRPr="008A38E2" w:rsidRDefault="00ED2FB9" w:rsidP="0096661F">
      <w:pPr>
        <w:rPr>
          <w:rFonts w:ascii="Arial" w:hAnsi="Arial" w:cs="Arial"/>
          <w:szCs w:val="20"/>
          <w:lang w:val="et-EE"/>
        </w:rPr>
      </w:pPr>
    </w:p>
    <w:sectPr w:rsidR="00ED2FB9" w:rsidRPr="008A38E2" w:rsidSect="00FC186C">
      <w:headerReference w:type="default" r:id="rId13"/>
      <w:footerReference w:type="default" r:id="rId14"/>
      <w:pgSz w:w="11900" w:h="16840"/>
      <w:pgMar w:top="3402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9F596" w14:textId="77777777" w:rsidR="00194715" w:rsidRDefault="00194715" w:rsidP="00DA1915">
      <w:r>
        <w:separator/>
      </w:r>
    </w:p>
  </w:endnote>
  <w:endnote w:type="continuationSeparator" w:id="0">
    <w:p w14:paraId="15708FA0" w14:textId="77777777" w:rsidR="00194715" w:rsidRDefault="0019471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B3FE2E" w14:textId="28DEF894" w:rsidR="00BF4D1B" w:rsidRPr="00C80498" w:rsidRDefault="00BF4D1B" w:rsidP="00BF4D1B">
                          <w:pPr>
                            <w:jc w:val="center"/>
                            <w:rPr>
                              <w:color w:val="FFFFFF" w:themeColor="background1"/>
                              <w:lang w:val="et-EE"/>
                            </w:rPr>
                          </w:pP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Aadress: </w:t>
                          </w:r>
                          <w:r w:rsidR="00CF5D5F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val="et-EE" w:eastAsia="et-EE"/>
                            </w:rPr>
                            <w:t>Juhan Liivi 4</w:t>
                          </w:r>
                          <w:r w:rsidRPr="00C80498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19"/>
                              <w:szCs w:val="19"/>
                              <w:lang w:val="et-EE" w:eastAsia="et-EE"/>
                            </w:rPr>
                            <w:t>, Tartu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, 50</w:t>
                          </w:r>
                          <w:r w:rsidR="00CF5D5F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409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; registrikood: 74001966; telefon: </w:t>
                          </w:r>
                          <w:r w:rsidR="00CA6FB2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>620 0100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; faks: 750 0611; e-post: 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>t</w:t>
                          </w:r>
                          <w:r w:rsidR="004D365F"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>mktartu.menetlus</w:t>
                          </w:r>
                          <w:r w:rsidRPr="00C80498"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u w:val="single"/>
                              <w:lang w:val="et-EE"/>
                            </w:rPr>
                            <w:t xml:space="preserve">@kohus.ee </w:t>
                          </w:r>
                        </w:p>
                        <w:p w14:paraId="402AFBB5" w14:textId="77777777" w:rsidR="00BF4D1B" w:rsidRPr="00C80498" w:rsidRDefault="00BF4D1B" w:rsidP="00BF4D1B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</w:pPr>
                          <w:r w:rsidRPr="00C80498">
                            <w:rPr>
                              <w:rStyle w:val="Hperlink"/>
                              <w:rFonts w:ascii="Arial" w:hAnsi="Arial" w:cs="Arial"/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  <w:t xml:space="preserve">Lisainfo: </w:t>
                          </w:r>
                          <w:hyperlink r:id="rId1" w:history="1">
                            <w:r w:rsidRPr="00C80498">
                              <w:rPr>
                                <w:rStyle w:val="Hperlink"/>
                                <w:rFonts w:ascii="Arial" w:hAnsi="Arial" w:cs="Arial"/>
                                <w:color w:val="FFFFFF" w:themeColor="background1"/>
                                <w:sz w:val="19"/>
                                <w:szCs w:val="19"/>
                                <w:lang w:val="et-EE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C80498" w:rsidRDefault="00FC186C" w:rsidP="002719A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  <w:lang w:val="et-E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1CB3FE2E" w14:textId="28DEF894" w:rsidR="00BF4D1B" w:rsidRPr="00C80498" w:rsidRDefault="00BF4D1B" w:rsidP="00BF4D1B">
                    <w:pPr>
                      <w:jc w:val="center"/>
                      <w:rPr>
                        <w:color w:val="FFFFFF" w:themeColor="background1"/>
                        <w:lang w:val="et-EE"/>
                      </w:rPr>
                    </w:pP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Aadress: </w:t>
                    </w:r>
                    <w:r w:rsidR="00CF5D5F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val="et-EE" w:eastAsia="et-EE"/>
                      </w:rPr>
                      <w:t>Juhan Liivi 4</w:t>
                    </w:r>
                    <w:r w:rsidRPr="00C80498">
                      <w:rPr>
                        <w:rFonts w:ascii="Arial" w:eastAsia="Times New Roman" w:hAnsi="Arial" w:cs="Arial"/>
                        <w:color w:val="FFFFFF" w:themeColor="background1"/>
                        <w:sz w:val="19"/>
                        <w:szCs w:val="19"/>
                        <w:lang w:val="et-EE" w:eastAsia="et-EE"/>
                      </w:rPr>
                      <w:t>, Tartu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, 50</w:t>
                    </w:r>
                    <w:r w:rsidR="00CF5D5F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409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; registrikood: 74001966; telefon: </w:t>
                    </w:r>
                    <w:r w:rsidR="00CA6FB2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>620 0100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; faks: 750 0611; e-post: 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>t</w:t>
                    </w:r>
                    <w:r w:rsidR="004D365F"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>mktartu.menetlus</w:t>
                    </w:r>
                    <w:r w:rsidRPr="00C80498"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u w:val="single"/>
                        <w:lang w:val="et-EE"/>
                      </w:rPr>
                      <w:t xml:space="preserve">@kohus.ee </w:t>
                    </w:r>
                  </w:p>
                  <w:p w14:paraId="402AFBB5" w14:textId="77777777" w:rsidR="00BF4D1B" w:rsidRPr="00C80498" w:rsidRDefault="00BF4D1B" w:rsidP="00BF4D1B">
                    <w:pPr>
                      <w:jc w:val="center"/>
                      <w:rPr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</w:pPr>
                    <w:r w:rsidRPr="00C80498">
                      <w:rPr>
                        <w:rStyle w:val="Hperlink"/>
                        <w:rFonts w:ascii="Arial" w:hAnsi="Arial" w:cs="Arial"/>
                        <w:color w:val="FFFFFF" w:themeColor="background1"/>
                        <w:sz w:val="19"/>
                        <w:szCs w:val="19"/>
                        <w:lang w:val="et-EE"/>
                      </w:rPr>
                      <w:t xml:space="preserve">Lisainfo: </w:t>
                    </w:r>
                    <w:hyperlink r:id="rId2" w:history="1">
                      <w:r w:rsidRPr="00C80498">
                        <w:rPr>
                          <w:rStyle w:val="Hperlink"/>
                          <w:rFonts w:ascii="Arial" w:hAnsi="Arial" w:cs="Arial"/>
                          <w:color w:val="FFFFFF" w:themeColor="background1"/>
                          <w:sz w:val="19"/>
                          <w:szCs w:val="19"/>
                          <w:lang w:val="et-EE"/>
                        </w:rPr>
                        <w:t>www.kohus.ee</w:t>
                      </w:r>
                    </w:hyperlink>
                  </w:p>
                  <w:p w14:paraId="0E39EBE8" w14:textId="2A2EE22A" w:rsidR="00FC186C" w:rsidRPr="00C80498" w:rsidRDefault="00FC186C" w:rsidP="002719AB">
                    <w:pPr>
                      <w:rPr>
                        <w:color w:val="FFFFFF" w:themeColor="background1"/>
                        <w:sz w:val="19"/>
                        <w:szCs w:val="19"/>
                        <w:lang w:val="et-EE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AD8A4" w14:textId="77777777" w:rsidR="00194715" w:rsidRDefault="00194715" w:rsidP="00DA1915">
      <w:r>
        <w:separator/>
      </w:r>
    </w:p>
  </w:footnote>
  <w:footnote w:type="continuationSeparator" w:id="0">
    <w:p w14:paraId="3B70C725" w14:textId="77777777" w:rsidR="00194715" w:rsidRDefault="0019471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14FCC"/>
    <w:multiLevelType w:val="hybridMultilevel"/>
    <w:tmpl w:val="FFD670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7237E"/>
    <w:multiLevelType w:val="hybridMultilevel"/>
    <w:tmpl w:val="A464198A"/>
    <w:lvl w:ilvl="0" w:tplc="44665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4E55AA"/>
    <w:multiLevelType w:val="hybridMultilevel"/>
    <w:tmpl w:val="43D83B9A"/>
    <w:lvl w:ilvl="0" w:tplc="446653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806571">
    <w:abstractNumId w:val="0"/>
  </w:num>
  <w:num w:numId="2" w16cid:durableId="1457142519">
    <w:abstractNumId w:val="1"/>
  </w:num>
  <w:num w:numId="3" w16cid:durableId="2054230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7A78"/>
    <w:rsid w:val="000D209F"/>
    <w:rsid w:val="000F376B"/>
    <w:rsid w:val="0013591A"/>
    <w:rsid w:val="00156FBB"/>
    <w:rsid w:val="00194715"/>
    <w:rsid w:val="0020610C"/>
    <w:rsid w:val="002719AB"/>
    <w:rsid w:val="00291EC3"/>
    <w:rsid w:val="002A302D"/>
    <w:rsid w:val="002D0A4B"/>
    <w:rsid w:val="00302067"/>
    <w:rsid w:val="003434CF"/>
    <w:rsid w:val="00366B6E"/>
    <w:rsid w:val="003D48C6"/>
    <w:rsid w:val="003F0460"/>
    <w:rsid w:val="003F6F57"/>
    <w:rsid w:val="004365BC"/>
    <w:rsid w:val="0043662B"/>
    <w:rsid w:val="004A1192"/>
    <w:rsid w:val="004D365F"/>
    <w:rsid w:val="0051481A"/>
    <w:rsid w:val="00517DCC"/>
    <w:rsid w:val="00530255"/>
    <w:rsid w:val="00575890"/>
    <w:rsid w:val="005B15D1"/>
    <w:rsid w:val="005D04E6"/>
    <w:rsid w:val="005F6925"/>
    <w:rsid w:val="0065796D"/>
    <w:rsid w:val="006F3C9A"/>
    <w:rsid w:val="006F54AC"/>
    <w:rsid w:val="0073644E"/>
    <w:rsid w:val="007400BD"/>
    <w:rsid w:val="007646D5"/>
    <w:rsid w:val="00791DB2"/>
    <w:rsid w:val="007A3896"/>
    <w:rsid w:val="00864D22"/>
    <w:rsid w:val="00866F02"/>
    <w:rsid w:val="00872447"/>
    <w:rsid w:val="00873A81"/>
    <w:rsid w:val="00883EB7"/>
    <w:rsid w:val="00891B63"/>
    <w:rsid w:val="008A38E2"/>
    <w:rsid w:val="008B41AA"/>
    <w:rsid w:val="00927473"/>
    <w:rsid w:val="0096661F"/>
    <w:rsid w:val="009F5C7D"/>
    <w:rsid w:val="00A252B8"/>
    <w:rsid w:val="00A264E0"/>
    <w:rsid w:val="00A50B75"/>
    <w:rsid w:val="00A7641F"/>
    <w:rsid w:val="00AE60FA"/>
    <w:rsid w:val="00B03BF9"/>
    <w:rsid w:val="00B310B5"/>
    <w:rsid w:val="00B37666"/>
    <w:rsid w:val="00B41162"/>
    <w:rsid w:val="00B57933"/>
    <w:rsid w:val="00BA0980"/>
    <w:rsid w:val="00BD2928"/>
    <w:rsid w:val="00BF4D1B"/>
    <w:rsid w:val="00C66C1E"/>
    <w:rsid w:val="00C67FD9"/>
    <w:rsid w:val="00C80498"/>
    <w:rsid w:val="00C8651B"/>
    <w:rsid w:val="00CA6FB2"/>
    <w:rsid w:val="00CF5D5F"/>
    <w:rsid w:val="00D06139"/>
    <w:rsid w:val="00D20B85"/>
    <w:rsid w:val="00D3169D"/>
    <w:rsid w:val="00D520D5"/>
    <w:rsid w:val="00D61ABD"/>
    <w:rsid w:val="00DA1915"/>
    <w:rsid w:val="00DB5A44"/>
    <w:rsid w:val="00E14A0B"/>
    <w:rsid w:val="00E349D5"/>
    <w:rsid w:val="00E5572E"/>
    <w:rsid w:val="00E7252F"/>
    <w:rsid w:val="00E90DB7"/>
    <w:rsid w:val="00E94012"/>
    <w:rsid w:val="00EA08CD"/>
    <w:rsid w:val="00EB0DA6"/>
    <w:rsid w:val="00EC53E3"/>
    <w:rsid w:val="00ED2FB9"/>
    <w:rsid w:val="00F00A78"/>
    <w:rsid w:val="00FB382E"/>
    <w:rsid w:val="00F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B0DA6"/>
    <w:rPr>
      <w:rFonts w:ascii="Tahoma" w:hAnsi="Tahoma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paragraph" w:customStyle="1" w:styleId="Default">
    <w:name w:val="Default"/>
    <w:rsid w:val="00047A7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3591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3591A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A7641F"/>
    <w:pPr>
      <w:ind w:left="720"/>
      <w:contextualSpacing/>
    </w:p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A302D"/>
    <w:pPr>
      <w:numPr>
        <w:ilvl w:val="1"/>
      </w:numPr>
      <w:spacing w:after="160"/>
    </w:pPr>
    <w:rPr>
      <w:rFonts w:ascii="Arial" w:eastAsiaTheme="minorEastAsia" w:hAnsi="Arial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2A302D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DB5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A25DB0-4935-48CD-913F-A120EFAD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Anastassia Stalmeister</dc:creator>
  <cp:keywords/>
  <dc:description/>
  <cp:lastModifiedBy>Anastassia Stalmeister</cp:lastModifiedBy>
  <cp:revision>2</cp:revision>
  <cp:lastPrinted>2022-05-10T12:48:00Z</cp:lastPrinted>
  <dcterms:created xsi:type="dcterms:W3CDTF">2024-07-25T12:26:00Z</dcterms:created>
  <dcterms:modified xsi:type="dcterms:W3CDTF">2024-07-25T12:26:00Z</dcterms:modified>
</cp:coreProperties>
</file>